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50066085"/>
      <w:bookmarkEnd w:id="2"/>
      <w:bookmarkStart w:id="3" w:name="_Hlt448930105"/>
      <w:bookmarkEnd w:id="3"/>
      <w:bookmarkStart w:id="4" w:name="_Hlt449016246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5</w:t>
      </w:r>
      <w:bookmarkStart w:id="8" w:name="_GoBack"/>
      <w:bookmarkEnd w:id="8"/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10361</w:t>
      </w:r>
    </w:p>
    <w:p>
      <w:pPr>
        <w:pStyle w:val="17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8"/>
      <w:bookmarkStart w:id="7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6"/>
      <w:bookmarkEnd w:id="7"/>
      <w:r>
        <w:rPr>
          <w:rStyle w:val="60"/>
          <w:rFonts w:hint="eastAsia"/>
          <w:b/>
          <w:highlight w:val="none"/>
          <w:lang w:val="en-US" w:eastAsia="zh-CN"/>
        </w:rPr>
        <w:t xml:space="preserve"> SAN RF requirements for NR NTN Ku 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7.7.6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107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Ku Band for NR NTN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for NR NTN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. 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further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NR NTN Ku 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SAN RF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The objectives are: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Use the regulation requirements in ITU Regions 1, 2 and 3 to identify relevant adjacent band co-existence scenarios for NTN Ku Band covering the following frequency ranges, considering targeted deployment scenarios: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1 and 3: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2</w:t>
            </w:r>
            <w:r>
              <w:rPr>
                <w:sz w:val="20"/>
                <w:szCs w:val="20"/>
              </w:rPr>
              <w:t xml:space="preserve"> (The US is in scope for the WI using the current allocation of the Ku band. The band introduction in specification is pending FCC decision)</w:t>
            </w:r>
            <w:r>
              <w:rPr>
                <w:bCs/>
                <w:sz w:val="20"/>
                <w:szCs w:val="20"/>
              </w:rPr>
              <w:t>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1 and 3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12.75 - 13.25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For ITU regions 2 </w:t>
            </w:r>
            <w:r>
              <w:rPr>
                <w:sz w:val="20"/>
                <w:szCs w:val="20"/>
              </w:rPr>
              <w:t>(The US is in scope for the WI using the current allocation of the Ku band. The band introduction in specification is pending FCC decision):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12.70 - 13.25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Note: Appropriate Tx/Rx separation for uplink downlink pairing will be required.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Conduct coexistence study. Reuse Ka band coexistence study assumptions as much as possible, with modifications where necessary, e.g. for coexistence scenario, frequency range and subcarrier spacing. Conduct new co-existence studies based on adjacent services.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Specify RF requirements for mobile VSAT served by NGSO and GSO based on existing mobile VSAT type 5 RF requirements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Investigate and if possible specify common FR1 and FR2 radiated RF requirements for Satellite Access Node (SAN) and NTN VSAT types (excluding types 1 to 3) in 38.101-5 also considering existing regulations on antenna sizes for certain parts of the Ku band.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Priority 1: for all ITU regions, define Ku band #1a and #1b for the downlink block and uplink block B. D</w:t>
            </w:r>
            <w:r>
              <w:rPr>
                <w:rFonts w:hint="eastAsia"/>
                <w:sz w:val="20"/>
                <w:szCs w:val="20"/>
                <w:lang w:eastAsia="zh-TW"/>
              </w:rPr>
              <w:t>efine two sets of bands, one for FR1 numerology and the other for FR2 numerology, including the support of the following: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FR1-NTN supporting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 </w:t>
            </w:r>
            <w:r>
              <w:rPr>
                <w:sz w:val="20"/>
                <w:szCs w:val="20"/>
              </w:rPr>
              <w:t>10 MHz</w:t>
            </w:r>
            <w:r>
              <w:rPr>
                <w:rFonts w:hint="eastAsia"/>
                <w:sz w:val="20"/>
                <w:szCs w:val="20"/>
                <w:lang w:eastAsia="zh-TW"/>
              </w:rPr>
              <w:t>,</w:t>
            </w:r>
            <w:r>
              <w:rPr>
                <w:sz w:val="20"/>
                <w:szCs w:val="20"/>
              </w:rPr>
              <w:t xml:space="preserve"> 20 MHz, 25 MHz, 35 MHz, 50 MHz, 70 MHz and 100 MHz channel bandwidths with 30 kHz subcarrier spacing, and 10MHz, 15MHz, 25MHz, 35MHz and 50MHz channel bandwidths with 15 kHz subcarrier spacing. </w:t>
            </w:r>
          </w:p>
          <w:p>
            <w:pPr>
              <w:pStyle w:val="34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Same subcarrier spacing is assumed for SSB and data channels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FR2-NTN supporting 50 MHz, 100 MHz, 200 MHz, 400 MHz (120kHz SCS only) channel bandwidths with 120 kHz subcarrier spacing</w:t>
            </w:r>
            <w:r>
              <w:rPr>
                <w:sz w:val="20"/>
                <w:szCs w:val="20"/>
                <w:lang w:eastAsia="zh-TW"/>
              </w:rPr>
              <w:t>.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TW"/>
              </w:rPr>
              <w:t>Note: Simultaneous operation of FR1-NTN and FR2-NTN numerology is not supported in the UE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Priority 2: for all ITU regions excluding the US in region 2, using the approach in Priority 1, define Ku band #2a and #2b as appropriate for the downlink block and uplink block A.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RRM requirements including timing requirements for mobile VSAT served by NGSO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RRM requirements are defined for VSAT supporting FR1-NTN operation only, or for FR2-NTN operation only.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default"/>
          <w:lang w:val="en-US" w:eastAsia="zh-CN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4"/>
        <w:numPr>
          <w:ilvl w:val="2"/>
          <w:numId w:val="0"/>
        </w:numPr>
        <w:ind w:leftChars="0" w:right="0" w:rightChars="0"/>
      </w:pPr>
      <w:r>
        <w:rPr>
          <w:rFonts w:hint="eastAsia"/>
          <w:lang w:val="en-US" w:eastAsia="zh-CN"/>
        </w:rPr>
        <w:t xml:space="preserve">2.1 </w:t>
      </w:r>
      <w:r>
        <w:rPr>
          <w:rFonts w:hint="eastAsia"/>
        </w:rPr>
        <w:t>The tolerance for the radiated transmit power and SAN output power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PMingLiU"/>
                <w:sz w:val="20"/>
                <w:szCs w:val="20"/>
                <w:highlight w:val="green"/>
                <w:lang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eastAsia="zh-TW"/>
              </w:rPr>
              <w:t>Wayforward:</w:t>
            </w:r>
          </w:p>
          <w:p>
            <w:pPr>
              <w:pStyle w:val="34"/>
              <w:keepNext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For the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 xml:space="preserve">tolerance 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of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 xml:space="preserve"> the radiated transmit power and SAN output power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for both the FR1-NTN and FR2-NTN Ku bands, down select to the following two options:</w:t>
            </w:r>
          </w:p>
          <w:p>
            <w:pPr>
              <w:pStyle w:val="34"/>
              <w:keepNext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Option 1: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[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+-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2.5]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dB EIRP accuracy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,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 xml:space="preserve"> [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+-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2.2]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dB TRP accuracy</w:t>
            </w:r>
          </w:p>
          <w:p>
            <w:pPr>
              <w:pStyle w:val="34"/>
              <w:keepNext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textAlignment w:val="auto"/>
              <w:rPr>
                <w:rFonts w:hint="eastAsia" w:eastAsia="PMingLiU"/>
                <w:kern w:val="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Option 2: [+-3.4]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dB EIRP accuracy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,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 xml:space="preserve"> [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+-3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]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dB TRP accuracy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(re-using FR2-NTN)</w:t>
            </w:r>
          </w:p>
        </w:tc>
      </w:tr>
    </w:tbl>
    <w:p>
      <w:pPr>
        <w:rPr>
          <w:rFonts w:hint="eastAsia" w:eastAsia="PMingLiU"/>
          <w:kern w:val="2"/>
          <w:sz w:val="20"/>
          <w:szCs w:val="20"/>
          <w:lang w:val="en-US" w:eastAsia="zh-CN"/>
        </w:rPr>
      </w:pPr>
      <w:r>
        <w:rPr>
          <w:rFonts w:hint="eastAsia" w:eastAsia="PMingLiU"/>
          <w:kern w:val="2"/>
          <w:sz w:val="20"/>
          <w:szCs w:val="20"/>
          <w:lang w:val="en-US" w:eastAsia="zh-CN"/>
        </w:rPr>
        <w:t>Regarding the tolerance for the radiated transmit power and SAN output power, it is proposed to reuse the same requirement as FR2-NTN Ka band for both FR1-NTN and FR2-NTN Ku bands instead of introducing a new stringent requirement for Ku band.</w:t>
      </w:r>
    </w:p>
    <w:p>
      <w:pPr>
        <w:rPr>
          <w:rFonts w:hint="eastAsia" w:eastAsia="PMingLiU"/>
          <w:b/>
          <w:bCs/>
          <w:kern w:val="2"/>
          <w:sz w:val="20"/>
          <w:szCs w:val="20"/>
          <w:lang w:val="en-US" w:eastAsia="zh-CN"/>
        </w:rPr>
      </w:pPr>
      <w:r>
        <w:rPr>
          <w:rFonts w:hint="eastAsia" w:eastAsia="PMingLiU"/>
          <w:b/>
          <w:bCs/>
          <w:kern w:val="2"/>
          <w:sz w:val="20"/>
          <w:szCs w:val="20"/>
          <w:lang w:val="en-US" w:eastAsia="zh-CN"/>
        </w:rPr>
        <w:t>Proposal 1: For the tolerance of the radiated transmit power and SAN output power for both FR1-NTN and FR2-NTN Ku band, it is proposed to define +- 3.4dB EIRP accuracy and +-3 dB TRP accuracy.</w:t>
      </w:r>
    </w:p>
    <w:p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OTA reference sensitivity level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Wayforward: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firstLine="284"/>
              <w:textAlignment w:val="auto"/>
              <w:rPr>
                <w:rFonts w:eastAsia="PMingLiU"/>
                <w:sz w:val="20"/>
                <w:szCs w:val="20"/>
                <w:lang w:val="en-US"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- Consider calculate the SAN EIS requirement for 50MHz channel bandwidth based on the UL SNR target -1 dB (MCS for QPSK 1/3)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firstLine="284"/>
              <w:textAlignment w:val="auto"/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- At least 2dB implementation margin and will be taken into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account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="284"/>
              <w:textAlignment w:val="auto"/>
              <w:rPr>
                <w:rFonts w:eastAsiaTheme="minorEastAsia"/>
                <w:sz w:val="20"/>
                <w:szCs w:val="20"/>
                <w:highlight w:val="green"/>
                <w:lang w:val="en-US"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- </w:t>
            </w:r>
            <w:r>
              <w:rPr>
                <w:rFonts w:hint="eastAsia" w:eastAsiaTheme="minorEastAsia"/>
                <w:sz w:val="20"/>
                <w:szCs w:val="20"/>
                <w:highlight w:val="green"/>
                <w:lang w:val="en-US" w:eastAsia="zh-TW"/>
              </w:rPr>
              <w:t>SAN parameters for GEO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hint="eastAsia"/>
                <w:sz w:val="20"/>
                <w:szCs w:val="20"/>
                <w:highlight w:val="green"/>
                <w:lang w:val="en-US" w:eastAsia="zh-TW"/>
              </w:rPr>
              <w:t xml:space="preserve">Option 1: NF = 3, Rx gain = </w:t>
            </w:r>
            <w:r>
              <w:rPr>
                <w:sz w:val="20"/>
                <w:szCs w:val="20"/>
                <w:highlight w:val="green"/>
                <w:lang w:val="en-US" w:eastAsia="zh-CN"/>
              </w:rPr>
              <w:t>[</w:t>
            </w:r>
            <w:r>
              <w:rPr>
                <w:rFonts w:hint="eastAsia"/>
                <w:sz w:val="20"/>
                <w:szCs w:val="20"/>
                <w:highlight w:val="green"/>
                <w:lang w:val="en-US" w:eastAsia="zh-CN"/>
              </w:rPr>
              <w:t>36</w:t>
            </w:r>
            <w:r>
              <w:rPr>
                <w:sz w:val="20"/>
                <w:szCs w:val="20"/>
                <w:highlight w:val="green"/>
              </w:rPr>
              <w:t>-</w:t>
            </w:r>
            <w:r>
              <w:rPr>
                <w:rFonts w:hint="eastAsia"/>
                <w:sz w:val="20"/>
                <w:szCs w:val="20"/>
                <w:highlight w:val="green"/>
                <w:lang w:val="en-US" w:eastAsia="zh-CN"/>
              </w:rPr>
              <w:t>44</w:t>
            </w:r>
            <w:r>
              <w:rPr>
                <w:sz w:val="20"/>
                <w:szCs w:val="20"/>
                <w:highlight w:val="green"/>
              </w:rPr>
              <w:t>]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hint="eastAsia" w:eastAsiaTheme="minorEastAsia"/>
                <w:sz w:val="20"/>
                <w:szCs w:val="20"/>
                <w:highlight w:val="green"/>
                <w:lang w:eastAsia="zh-TW"/>
              </w:rPr>
              <w:t xml:space="preserve">Option 2: 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G/T = 7.5~16.5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hint="eastAsia" w:eastAsiaTheme="minorEastAsia"/>
                <w:sz w:val="20"/>
                <w:szCs w:val="20"/>
                <w:highlight w:val="green"/>
                <w:lang w:eastAsia="zh-TW"/>
              </w:rPr>
              <w:t xml:space="preserve">Option 3: 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G/T = 12.5~21.5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O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ther options are not precluded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="284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- SAN parameters for LEO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hint="eastAsia"/>
                <w:sz w:val="20"/>
                <w:szCs w:val="20"/>
                <w:highlight w:val="green"/>
                <w:lang w:val="en-US" w:eastAsia="zh-TW"/>
              </w:rPr>
              <w:t xml:space="preserve">Option 1: NF = 3, Rx gain = </w:t>
            </w:r>
            <w:r>
              <w:rPr>
                <w:sz w:val="20"/>
                <w:szCs w:val="20"/>
                <w:highlight w:val="green"/>
                <w:lang w:val="en-US" w:eastAsia="zh-CN"/>
              </w:rPr>
              <w:t>[</w:t>
            </w:r>
            <w:r>
              <w:rPr>
                <w:rFonts w:hint="eastAsia"/>
                <w:sz w:val="20"/>
                <w:szCs w:val="20"/>
                <w:highlight w:val="green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  <w:highlight w:val="green"/>
                <w:lang w:val="en-US" w:eastAsia="zh-TW"/>
              </w:rPr>
              <w:t>0.5</w:t>
            </w:r>
            <w:r>
              <w:rPr>
                <w:sz w:val="20"/>
                <w:szCs w:val="20"/>
                <w:highlight w:val="green"/>
              </w:rPr>
              <w:t>-</w:t>
            </w:r>
            <w:r>
              <w:rPr>
                <w:rFonts w:hint="eastAsia"/>
                <w:sz w:val="20"/>
                <w:szCs w:val="20"/>
                <w:highlight w:val="green"/>
                <w:lang w:val="en-US" w:eastAsia="zh-TW"/>
              </w:rPr>
              <w:t>38.5</w:t>
            </w:r>
            <w:r>
              <w:rPr>
                <w:sz w:val="20"/>
                <w:szCs w:val="20"/>
                <w:highlight w:val="green"/>
              </w:rPr>
              <w:t>]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hint="eastAsia" w:eastAsiaTheme="minorEastAsia"/>
                <w:sz w:val="20"/>
                <w:szCs w:val="20"/>
                <w:highlight w:val="green"/>
                <w:lang w:eastAsia="zh-TW"/>
              </w:rPr>
              <w:t xml:space="preserve">Option 2: 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G/T = 1.9~10.9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highlight w:val="green"/>
                <w:lang w:val="en-US"/>
              </w:rPr>
            </w:pP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O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ther options are not precluded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For OTA REFSENS, it is channel BW and SCS specific. The requirement for SAN type 1-O is 2.4 dB lower than </w:t>
      </w:r>
      <w:r>
        <w:rPr>
          <w:sz w:val="20"/>
          <w:szCs w:val="20"/>
          <w:lang w:eastAsia="zh-CN"/>
        </w:rPr>
        <w:t>EIS</w:t>
      </w:r>
      <w:r>
        <w:rPr>
          <w:sz w:val="20"/>
          <w:szCs w:val="20"/>
          <w:vertAlign w:val="subscript"/>
          <w:lang w:eastAsia="zh-CN"/>
        </w:rPr>
        <w:t>REFSENS</w:t>
      </w:r>
      <w:r>
        <w:rPr>
          <w:rFonts w:hint="eastAsia"/>
          <w:sz w:val="20"/>
          <w:szCs w:val="20"/>
          <w:vertAlign w:val="subscript"/>
          <w:lang w:val="en-US" w:eastAsia="zh-CN"/>
        </w:rPr>
        <w:t xml:space="preserve"> </w:t>
      </w:r>
      <w:r>
        <w:rPr>
          <w:rFonts w:hint="eastAsia"/>
          <w:sz w:val="20"/>
          <w:szCs w:val="20"/>
          <w:vertAlign w:val="baseline"/>
          <w:lang w:val="en-US" w:eastAsia="zh-CN"/>
        </w:rPr>
        <w:t xml:space="preserve">in 38.104 with same reference measurement channel. For </w:t>
      </w:r>
      <w:r>
        <w:rPr>
          <w:rFonts w:hint="eastAsia"/>
          <w:sz w:val="20"/>
          <w:szCs w:val="20"/>
          <w:lang w:val="en-US" w:eastAsia="zh-CN"/>
        </w:rPr>
        <w:t xml:space="preserve">SAN type 2-O (also for Ka bands), it is a range and declared by the vendor, which is defined by the following equation with the assumption of the smallest supported bandwidth 50 MHz </w:t>
      </w:r>
      <w:r>
        <w:rPr>
          <w:rFonts w:hint="eastAsia"/>
          <w:sz w:val="20"/>
          <w:szCs w:val="20"/>
          <w:lang w:eastAsia="zh-CN"/>
        </w:rPr>
        <w:t>[</w:t>
      </w:r>
      <w:r>
        <w:rPr>
          <w:rFonts w:hint="eastAsia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  <w:lang w:eastAsia="zh-CN"/>
        </w:rPr>
        <w:t>]</w:t>
      </w:r>
      <w:r>
        <w:rPr>
          <w:rFonts w:hint="eastAsia"/>
          <w:sz w:val="20"/>
          <w:szCs w:val="20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position w:val="-12"/>
          <w:sz w:val="20"/>
          <w:szCs w:val="20"/>
        </w:rPr>
        <w:object>
          <v:shape id="_x0000_i1025" o:spt="75" type="#_x0000_t75" style="height:18.8pt;width:311.6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0"/>
          <w:szCs w:val="20"/>
          <w:vertAlign w:val="baseline"/>
          <w:lang w:val="en-US" w:eastAsia="zh-CN"/>
        </w:rPr>
      </w:pPr>
      <w:r>
        <w:rPr>
          <w:rFonts w:hint="eastAsia"/>
          <w:sz w:val="20"/>
          <w:szCs w:val="20"/>
          <w:vertAlign w:val="baseline"/>
          <w:lang w:val="en-US" w:eastAsia="zh-CN"/>
        </w:rPr>
        <w:t>We propose to use the same approach as Ka bands to define OTA REFSENS with the following assumptions: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P</w:t>
      </w:r>
      <w:r>
        <w:rPr>
          <w:sz w:val="20"/>
          <w:szCs w:val="20"/>
          <w:vertAlign w:val="subscript"/>
          <w:lang w:val="en-US" w:eastAsia="zh-CN"/>
        </w:rPr>
        <w:t>kT</w:t>
      </w:r>
      <w:r>
        <w:rPr>
          <w:sz w:val="20"/>
          <w:szCs w:val="20"/>
          <w:lang w:val="en-US" w:eastAsia="zh-CN"/>
        </w:rPr>
        <w:t xml:space="preserve"> = -174 dBm/Hz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sz w:val="20"/>
          <w:szCs w:val="20"/>
          <w:lang w:eastAsia="zh-CN"/>
        </w:rPr>
      </w:pPr>
      <w:r>
        <w:rPr>
          <w:sz w:val="20"/>
          <w:szCs w:val="20"/>
          <w:lang w:val="en-US" w:eastAsia="zh-CN"/>
        </w:rPr>
        <w:t>IM = 2 dB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Cs/>
          <w:sz w:val="20"/>
          <w:szCs w:val="20"/>
        </w:rPr>
      </w:pPr>
      <w:r>
        <w:rPr>
          <w:rFonts w:hint="eastAsia" w:cs="Arial"/>
          <w:bCs/>
          <w:sz w:val="20"/>
          <w:szCs w:val="20"/>
        </w:rPr>
        <w:t xml:space="preserve">BW for </w:t>
      </w:r>
      <w:r>
        <w:rPr>
          <w:rFonts w:eastAsia="等线"/>
          <w:bCs/>
          <w:sz w:val="20"/>
          <w:szCs w:val="20"/>
        </w:rPr>
        <w:t>EIS</w:t>
      </w:r>
      <w:r>
        <w:rPr>
          <w:rFonts w:eastAsia="等线"/>
          <w:bCs/>
          <w:sz w:val="20"/>
          <w:szCs w:val="20"/>
          <w:vertAlign w:val="subscript"/>
        </w:rPr>
        <w:t>REFSENS</w:t>
      </w:r>
      <w:r>
        <w:rPr>
          <w:rFonts w:hint="eastAsia" w:eastAsia="等线"/>
          <w:bCs/>
          <w:sz w:val="20"/>
          <w:szCs w:val="20"/>
          <w:vertAlign w:val="subscript"/>
        </w:rPr>
        <w:t>_</w:t>
      </w:r>
      <w:r>
        <w:rPr>
          <w:rFonts w:hint="eastAsia" w:eastAsia="等线"/>
          <w:bCs/>
          <w:sz w:val="20"/>
          <w:szCs w:val="20"/>
          <w:vertAlign w:val="subscript"/>
          <w:lang w:val="en-US" w:eastAsia="zh-CN"/>
        </w:rPr>
        <w:t>5</w:t>
      </w:r>
      <w:r>
        <w:rPr>
          <w:rFonts w:hint="eastAsia" w:eastAsia="等线"/>
          <w:bCs/>
          <w:sz w:val="20"/>
          <w:szCs w:val="20"/>
          <w:vertAlign w:val="subscript"/>
        </w:rPr>
        <w:t>0M</w:t>
      </w:r>
      <w:r>
        <w:rPr>
          <w:rFonts w:hint="eastAsia" w:eastAsia="等线"/>
          <w:bCs/>
          <w:sz w:val="20"/>
          <w:szCs w:val="20"/>
        </w:rPr>
        <w:t xml:space="preserve"> for K</w:t>
      </w:r>
      <w:r>
        <w:rPr>
          <w:rFonts w:hint="eastAsia" w:eastAsia="等线"/>
          <w:bCs/>
          <w:sz w:val="20"/>
          <w:szCs w:val="20"/>
          <w:lang w:val="en-US" w:eastAsia="zh-CN"/>
        </w:rPr>
        <w:t>u</w:t>
      </w:r>
      <w:r>
        <w:rPr>
          <w:rFonts w:hint="eastAsia" w:eastAsia="等线"/>
          <w:bCs/>
          <w:sz w:val="20"/>
          <w:szCs w:val="20"/>
        </w:rPr>
        <w:t xml:space="preserve">-band SAN is </w:t>
      </w:r>
      <w:r>
        <w:rPr>
          <w:rFonts w:hint="eastAsia" w:eastAsia="等线"/>
          <w:bCs/>
          <w:sz w:val="20"/>
          <w:szCs w:val="20"/>
          <w:lang w:val="en-US" w:eastAsia="zh-CN"/>
        </w:rPr>
        <w:t xml:space="preserve">270 </w:t>
      </w:r>
      <w:r>
        <w:rPr>
          <w:rFonts w:eastAsia="等线"/>
          <w:bCs/>
          <w:sz w:val="20"/>
          <w:szCs w:val="20"/>
        </w:rPr>
        <w:t xml:space="preserve">RB, i.e. </w:t>
      </w:r>
      <w:r>
        <w:rPr>
          <w:rFonts w:hint="eastAsia" w:eastAsia="等线"/>
          <w:bCs/>
          <w:sz w:val="20"/>
          <w:szCs w:val="20"/>
          <w:lang w:val="en-US" w:eastAsia="zh-CN"/>
        </w:rPr>
        <w:t>270</w:t>
      </w:r>
      <w:r>
        <w:rPr>
          <w:rFonts w:hint="eastAsia" w:eastAsia="等线"/>
          <w:bCs/>
          <w:sz w:val="20"/>
          <w:szCs w:val="20"/>
        </w:rPr>
        <w:t>*12*</w:t>
      </w:r>
      <w:r>
        <w:rPr>
          <w:rFonts w:hint="eastAsia" w:eastAsia="等线"/>
          <w:bCs/>
          <w:sz w:val="20"/>
          <w:szCs w:val="20"/>
          <w:lang w:val="en-US" w:eastAsia="zh-CN"/>
        </w:rPr>
        <w:t>15</w:t>
      </w:r>
      <w:r>
        <w:rPr>
          <w:rFonts w:hint="eastAsia" w:eastAsia="等线"/>
          <w:bCs/>
          <w:sz w:val="20"/>
          <w:szCs w:val="20"/>
        </w:rPr>
        <w:t>*1000Hz</w:t>
      </w:r>
      <w:r>
        <w:rPr>
          <w:rFonts w:eastAsia="等线"/>
          <w:bCs/>
          <w:sz w:val="20"/>
          <w:szCs w:val="20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Cs/>
          <w:sz w:val="20"/>
          <w:szCs w:val="20"/>
          <w:lang w:eastAsia="zh-CN"/>
        </w:rPr>
      </w:pPr>
      <w:r>
        <w:rPr>
          <w:rFonts w:hint="eastAsia" w:cs="Arial"/>
          <w:bCs/>
          <w:sz w:val="20"/>
          <w:szCs w:val="20"/>
        </w:rPr>
        <w:t xml:space="preserve">-1dB SNR can be </w:t>
      </w:r>
      <w:r>
        <w:rPr>
          <w:rFonts w:cs="Arial"/>
          <w:bCs/>
          <w:sz w:val="20"/>
          <w:szCs w:val="20"/>
        </w:rPr>
        <w:t>reused</w:t>
      </w:r>
      <w:r>
        <w:rPr>
          <w:rFonts w:hint="eastAsia" w:cs="Arial"/>
          <w:bCs/>
          <w:sz w:val="20"/>
          <w:szCs w:val="20"/>
        </w:rPr>
        <w:t xml:space="preserve"> for </w:t>
      </w:r>
      <w:r>
        <w:rPr>
          <w:rFonts w:eastAsia="等线"/>
          <w:bCs/>
          <w:sz w:val="20"/>
          <w:szCs w:val="20"/>
        </w:rPr>
        <w:t>EIS</w:t>
      </w:r>
      <w:r>
        <w:rPr>
          <w:rFonts w:hint="eastAsia" w:cs="Arial"/>
          <w:bCs/>
          <w:sz w:val="20"/>
          <w:szCs w:val="20"/>
        </w:rPr>
        <w:t xml:space="preserve"> for K</w:t>
      </w:r>
      <w:r>
        <w:rPr>
          <w:rFonts w:hint="eastAsia" w:cs="Arial"/>
          <w:bCs/>
          <w:sz w:val="20"/>
          <w:szCs w:val="20"/>
          <w:lang w:val="en-US" w:eastAsia="zh-CN"/>
        </w:rPr>
        <w:t>u</w:t>
      </w:r>
      <w:r>
        <w:rPr>
          <w:rFonts w:hint="eastAsia" w:cs="Arial"/>
          <w:bCs/>
          <w:sz w:val="20"/>
          <w:szCs w:val="20"/>
        </w:rPr>
        <w:t>-band SAN</w:t>
      </w:r>
      <w:r>
        <w:rPr>
          <w:rFonts w:hint="eastAsia" w:cs="Arial"/>
          <w:bCs/>
          <w:sz w:val="20"/>
          <w:szCs w:val="20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="等线"/>
          <w:sz w:val="20"/>
          <w:szCs w:val="20"/>
          <w:lang w:eastAsia="zh-CN"/>
        </w:rPr>
      </w:pPr>
      <w:r>
        <w:rPr>
          <w:rFonts w:hint="eastAsia" w:eastAsia="等线"/>
          <w:sz w:val="20"/>
          <w:szCs w:val="20"/>
          <w:lang w:eastAsia="zh-CN"/>
        </w:rPr>
        <w:t xml:space="preserve">NF for </w:t>
      </w:r>
      <w:r>
        <w:rPr>
          <w:rFonts w:eastAsia="等线"/>
          <w:sz w:val="20"/>
          <w:szCs w:val="20"/>
          <w:lang w:eastAsia="zh-CN"/>
        </w:rPr>
        <w:t>GEO and LEO</w:t>
      </w:r>
      <w:r>
        <w:rPr>
          <w:rFonts w:hint="eastAsia" w:eastAsia="等线"/>
          <w:sz w:val="20"/>
          <w:szCs w:val="20"/>
          <w:lang w:eastAsia="zh-CN"/>
        </w:rPr>
        <w:t xml:space="preserve"> SAN</w:t>
      </w:r>
      <w:r>
        <w:rPr>
          <w:rFonts w:eastAsia="等线"/>
          <w:sz w:val="20"/>
          <w:szCs w:val="20"/>
          <w:lang w:eastAsia="zh-CN"/>
        </w:rPr>
        <w:t>: 3 dB</w:t>
      </w:r>
      <w:r>
        <w:rPr>
          <w:rFonts w:hint="eastAsia" w:eastAsia="等线"/>
          <w:sz w:val="20"/>
          <w:szCs w:val="20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iCs/>
          <w:sz w:val="20"/>
          <w:szCs w:val="20"/>
          <w:lang w:val="en-US" w:eastAsia="zh-CN"/>
        </w:rPr>
      </w:pPr>
      <w:r>
        <w:rPr>
          <w:rFonts w:hint="eastAsia"/>
          <w:iCs/>
          <w:sz w:val="20"/>
          <w:szCs w:val="20"/>
          <w:lang w:val="en-US" w:eastAsia="zh-CN"/>
        </w:rPr>
        <w:t xml:space="preserve">G represents SAN Rx antenna gain. Since OTA REFSENS is range calculated based on antenna gain range, we can assume SAN antenna gain for Ku band: </w:t>
      </w:r>
      <w:r>
        <w:rPr>
          <w:sz w:val="20"/>
          <w:szCs w:val="20"/>
          <w:lang w:val="en-US" w:eastAsia="zh-CN"/>
        </w:rPr>
        <w:t>G = [</w:t>
      </w:r>
      <w:r>
        <w:rPr>
          <w:rFonts w:hint="eastAsia"/>
          <w:sz w:val="20"/>
          <w:szCs w:val="20"/>
          <w:lang w:val="en-US" w:eastAsia="zh-CN"/>
        </w:rPr>
        <w:t>36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  <w:lang w:val="en-US" w:eastAsia="zh-CN"/>
        </w:rPr>
        <w:t>44</w:t>
      </w:r>
      <w:r>
        <w:rPr>
          <w:sz w:val="20"/>
          <w:szCs w:val="20"/>
        </w:rPr>
        <w:t>] dBi, and [30.5-38.5] dBi for GEO and LEO-600</w:t>
      </w:r>
      <w:r>
        <w:rPr>
          <w:rFonts w:hint="eastAsia"/>
          <w:sz w:val="20"/>
          <w:szCs w:val="20"/>
          <w:lang w:val="en-US" w:eastAsia="zh-CN"/>
        </w:rPr>
        <w:t xml:space="preserve"> respectively</w:t>
      </w:r>
      <w:r>
        <w:rPr>
          <w:sz w:val="20"/>
          <w:szCs w:val="20"/>
        </w:rPr>
        <w:t>.</w:t>
      </w:r>
      <w:r>
        <w:rPr>
          <w:rStyle w:val="29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/>
          <w:iCs/>
          <w:sz w:val="20"/>
          <w:szCs w:val="20"/>
          <w:lang w:val="en-US" w:eastAsia="zh-CN"/>
        </w:rPr>
        <w:t>In addition,</w:t>
      </w:r>
      <w:r>
        <w:rPr>
          <w:rFonts w:hint="eastAsia" w:eastAsia="等线"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>3dB off peak margin</w:t>
      </w:r>
      <w:r>
        <w:rPr>
          <w:rFonts w:hint="eastAsia"/>
          <w:sz w:val="20"/>
          <w:szCs w:val="20"/>
          <w:lang w:eastAsia="zh-CN"/>
        </w:rPr>
        <w:t xml:space="preserve"> need to be considered. </w:t>
      </w:r>
      <w:r>
        <w:rPr>
          <w:rFonts w:hint="eastAsia"/>
          <w:sz w:val="20"/>
          <w:szCs w:val="20"/>
          <w:lang w:val="en-US" w:eastAsia="zh-CN"/>
        </w:rPr>
        <w:t>Hence,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eastAsia="等线"/>
          <w:sz w:val="20"/>
          <w:szCs w:val="20"/>
        </w:rPr>
        <w:t>EIS</w:t>
      </w:r>
      <w:r>
        <w:rPr>
          <w:rFonts w:eastAsia="等线"/>
          <w:sz w:val="20"/>
          <w:szCs w:val="20"/>
          <w:vertAlign w:val="subscript"/>
        </w:rPr>
        <w:t>REFSENS</w:t>
      </w:r>
      <w:r>
        <w:rPr>
          <w:rFonts w:hint="eastAsia" w:eastAsia="等线"/>
          <w:sz w:val="20"/>
          <w:szCs w:val="20"/>
          <w:vertAlign w:val="subscript"/>
          <w:lang w:eastAsia="zh-CN"/>
        </w:rPr>
        <w:t>_</w:t>
      </w:r>
      <w:r>
        <w:rPr>
          <w:rFonts w:hint="eastAsia" w:eastAsia="等线"/>
          <w:sz w:val="20"/>
          <w:szCs w:val="20"/>
          <w:vertAlign w:val="subscript"/>
          <w:lang w:val="en-US" w:eastAsia="zh-CN"/>
        </w:rPr>
        <w:t>5</w:t>
      </w:r>
      <w:r>
        <w:rPr>
          <w:rFonts w:hint="eastAsia" w:eastAsia="等线"/>
          <w:sz w:val="20"/>
          <w:szCs w:val="20"/>
          <w:vertAlign w:val="subscript"/>
          <w:lang w:eastAsia="zh-CN"/>
        </w:rPr>
        <w:t>0M</w:t>
      </w:r>
      <w:r>
        <w:rPr>
          <w:rFonts w:hint="eastAsia" w:eastAsia="等线"/>
          <w:sz w:val="20"/>
          <w:szCs w:val="20"/>
          <w:lang w:eastAsia="zh-CN"/>
        </w:rPr>
        <w:t xml:space="preserve"> can be calculated by the following</w:t>
      </w:r>
      <w:r>
        <w:rPr>
          <w:rFonts w:hint="eastAsia" w:eastAsia="等线"/>
          <w:sz w:val="20"/>
          <w:szCs w:val="20"/>
          <w:lang w:val="en-US" w:eastAsia="zh-CN"/>
        </w:rPr>
        <w:t xml:space="preserve"> for GEO class SAN.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position w:val="-14"/>
          <w:sz w:val="20"/>
          <w:szCs w:val="20"/>
        </w:rPr>
        <w:object>
          <v:shape id="_x0000_i1026" o:spt="75" type="#_x0000_t75" style="height:18.9pt;width:377.7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position w:val="-14"/>
          <w:sz w:val="20"/>
          <w:szCs w:val="20"/>
        </w:rPr>
        <w:object>
          <v:shape id="_x0000_i1027" o:spt="75" type="#_x0000_t75" style="height:18.85pt;width:377.7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0"/>
          <w:szCs w:val="20"/>
          <w:vertAlign w:val="baseline"/>
          <w:lang w:val="en-US" w:eastAsia="zh-CN"/>
        </w:rPr>
      </w:pPr>
      <w:r>
        <w:rPr>
          <w:rFonts w:hint="eastAsia"/>
          <w:sz w:val="20"/>
          <w:szCs w:val="20"/>
          <w:vertAlign w:val="baseline"/>
          <w:lang w:val="en-US" w:eastAsia="zh-CN"/>
        </w:rPr>
        <w:t>So we propose to define OTA REFSENS for both FR1-NTN Ku bands and FR2-NTN Ku bands as follows: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0"/>
          <w:szCs w:val="20"/>
          <w:vertAlign w:val="baseline"/>
          <w:lang w:val="en-US" w:eastAsia="zh-CN"/>
        </w:rPr>
      </w:pPr>
      <w:r>
        <w:rPr>
          <w:rFonts w:hint="default"/>
          <w:sz w:val="20"/>
          <w:szCs w:val="20"/>
          <w:vertAlign w:val="baseline"/>
          <w:lang w:val="en-US" w:eastAsia="zh-CN"/>
        </w:rPr>
        <w:t>For GEO class SAN, EISREFSENS_</w:t>
      </w:r>
      <w:r>
        <w:rPr>
          <w:rFonts w:hint="eastAsia"/>
          <w:sz w:val="20"/>
          <w:szCs w:val="20"/>
          <w:vertAlign w:val="baseline"/>
          <w:lang w:val="en-US" w:eastAsia="zh-CN"/>
        </w:rPr>
        <w:t>5</w:t>
      </w:r>
      <w:r>
        <w:rPr>
          <w:rFonts w:hint="default"/>
          <w:sz w:val="20"/>
          <w:szCs w:val="20"/>
          <w:vertAlign w:val="baseline"/>
          <w:lang w:val="en-US" w:eastAsia="zh-CN"/>
        </w:rPr>
        <w:t>0M is an integer value in the range [-1</w:t>
      </w:r>
      <w:r>
        <w:rPr>
          <w:rFonts w:hint="eastAsia"/>
          <w:sz w:val="20"/>
          <w:szCs w:val="20"/>
          <w:vertAlign w:val="baseline"/>
          <w:lang w:val="en-US" w:eastAsia="zh-CN"/>
        </w:rPr>
        <w:t>26</w:t>
      </w:r>
      <w:r>
        <w:rPr>
          <w:rFonts w:hint="default"/>
          <w:sz w:val="20"/>
          <w:szCs w:val="20"/>
          <w:vertAlign w:val="baseline"/>
          <w:lang w:val="en-US" w:eastAsia="zh-CN"/>
        </w:rPr>
        <w:t>] to [-1</w:t>
      </w:r>
      <w:r>
        <w:rPr>
          <w:rFonts w:hint="eastAsia"/>
          <w:sz w:val="20"/>
          <w:szCs w:val="20"/>
          <w:vertAlign w:val="baseline"/>
          <w:lang w:val="en-US" w:eastAsia="zh-CN"/>
        </w:rPr>
        <w:t>34</w:t>
      </w:r>
      <w:r>
        <w:rPr>
          <w:rFonts w:hint="default"/>
          <w:sz w:val="20"/>
          <w:szCs w:val="20"/>
          <w:vertAlign w:val="baseline"/>
          <w:lang w:val="en-US" w:eastAsia="zh-CN"/>
        </w:rPr>
        <w:t>] dBm. The specific value is declared by the vendor.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0"/>
          <w:szCs w:val="20"/>
          <w:vertAlign w:val="baseline"/>
          <w:lang w:val="en-US" w:eastAsia="zh-CN"/>
        </w:rPr>
      </w:pPr>
      <w:r>
        <w:rPr>
          <w:rFonts w:hint="default"/>
          <w:sz w:val="20"/>
          <w:szCs w:val="20"/>
          <w:vertAlign w:val="baseline"/>
          <w:lang w:val="en-US" w:eastAsia="zh-CN"/>
        </w:rPr>
        <w:t>For LEO class SAN, EISREFSENS_</w:t>
      </w:r>
      <w:r>
        <w:rPr>
          <w:rFonts w:hint="eastAsia"/>
          <w:sz w:val="20"/>
          <w:szCs w:val="20"/>
          <w:vertAlign w:val="baseline"/>
          <w:lang w:val="en-US" w:eastAsia="zh-CN"/>
        </w:rPr>
        <w:t>5</w:t>
      </w:r>
      <w:r>
        <w:rPr>
          <w:rFonts w:hint="default"/>
          <w:sz w:val="20"/>
          <w:szCs w:val="20"/>
          <w:vertAlign w:val="baseline"/>
          <w:lang w:val="en-US" w:eastAsia="zh-CN"/>
        </w:rPr>
        <w:t>0M is an integer value in the range [-1</w:t>
      </w:r>
      <w:r>
        <w:rPr>
          <w:rFonts w:hint="eastAsia"/>
          <w:sz w:val="20"/>
          <w:szCs w:val="20"/>
          <w:vertAlign w:val="baseline"/>
          <w:lang w:val="en-US" w:eastAsia="zh-CN"/>
        </w:rPr>
        <w:t>21</w:t>
      </w:r>
      <w:r>
        <w:rPr>
          <w:rFonts w:hint="default"/>
          <w:sz w:val="20"/>
          <w:szCs w:val="20"/>
          <w:vertAlign w:val="baseline"/>
          <w:lang w:val="en-US" w:eastAsia="zh-CN"/>
        </w:rPr>
        <w:t>] to [-1</w:t>
      </w:r>
      <w:r>
        <w:rPr>
          <w:rFonts w:hint="eastAsia"/>
          <w:sz w:val="20"/>
          <w:szCs w:val="20"/>
          <w:vertAlign w:val="baseline"/>
          <w:lang w:val="en-US" w:eastAsia="zh-CN"/>
        </w:rPr>
        <w:t>29</w:t>
      </w:r>
      <w:r>
        <w:rPr>
          <w:rFonts w:hint="default"/>
          <w:sz w:val="20"/>
          <w:szCs w:val="20"/>
          <w:vertAlign w:val="baseline"/>
          <w:lang w:val="en-US" w:eastAsia="zh-CN"/>
        </w:rPr>
        <w:t>] dBm. The specific value is declared by the vendor.</w:t>
      </w:r>
    </w:p>
    <w:p>
      <w:pPr>
        <w:rPr>
          <w:rFonts w:hint="eastAsia"/>
          <w:b/>
          <w:b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2: It is proposed 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to define OTA REFSENS for both FR1-NTN Ku bands and FR2-NTN Ku bands as follows: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20" w:leftChars="200"/>
        <w:textAlignment w:val="auto"/>
        <w:rPr>
          <w:rFonts w:hint="default"/>
          <w:b/>
          <w:bCs/>
          <w:sz w:val="20"/>
          <w:szCs w:val="20"/>
          <w:vertAlign w:val="baseline"/>
          <w:lang w:val="en-US" w:eastAsia="zh-CN"/>
        </w:rPr>
      </w:pP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For GEO class SAN, EISREFSENS_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5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0M is an integer value in the range [-1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26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] to [-1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34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] dBm. The specific value is declared by the vendor.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20" w:leftChars="20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For LEO class SAN, EISREFSENS_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5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0M is an integer value in the range [-1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21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] to [-1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29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] dBm. The specific value is declared by the vendor.</w:t>
      </w:r>
    </w:p>
    <w:p>
      <w:pPr>
        <w:rPr>
          <w:rFonts w:hint="default"/>
          <w:lang w:val="en-US" w:eastAsia="zh-CN"/>
        </w:rPr>
      </w:pPr>
    </w:p>
    <w:p>
      <w:pPr>
        <w:pStyle w:val="4"/>
        <w:numPr>
          <w:ilvl w:val="2"/>
          <w:numId w:val="0"/>
        </w:numPr>
        <w:bidi w:val="0"/>
        <w:ind w:leftChars="0" w:right="0" w:righ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OTA out-of-band blocking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Wayforward:</w:t>
            </w:r>
          </w:p>
          <w:p>
            <w:pPr>
              <w:pStyle w:val="34"/>
              <w:keepNext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textAlignment w:val="baseline"/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Option 1:</w:t>
            </w:r>
          </w:p>
          <w:p>
            <w:pPr>
              <w:pStyle w:val="34"/>
              <w:keepNext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textAlignment w:val="baseline"/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Consider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Δf</w:t>
            </w:r>
            <w:r>
              <w:rPr>
                <w:rFonts w:eastAsia="PMingLiU"/>
                <w:sz w:val="20"/>
                <w:szCs w:val="20"/>
                <w:highlight w:val="green"/>
                <w:vertAlign w:val="subscript"/>
                <w:lang w:val="en-US" w:eastAsia="zh-TW"/>
              </w:rPr>
              <w:t>OOB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 xml:space="preserve"> = 100 MHz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for both FR1-NTN Ku bands and FR2-NTN Ku bands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</w:t>
            </w:r>
          </w:p>
          <w:p>
            <w:pPr>
              <w:pStyle w:val="34"/>
              <w:keepNext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textAlignment w:val="baseline"/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Consider 100 MHz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≤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FUL,high – FUL,low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≤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900 MHz is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agreeable</w:t>
            </w: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 xml:space="preserve"> for both </w:t>
            </w:r>
            <w:r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  <w:t>FR1-NTN Ku bands and FR2-NTN Ku bands</w:t>
            </w:r>
          </w:p>
          <w:p>
            <w:pPr>
              <w:pStyle w:val="34"/>
              <w:keepNext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textAlignment w:val="baseline"/>
              <w:rPr>
                <w:rFonts w:eastAsia="PMingLiU"/>
                <w:sz w:val="20"/>
                <w:szCs w:val="20"/>
                <w:highlight w:val="green"/>
                <w:lang w:val="en-US" w:eastAsia="zh-TW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Option 2</w:t>
            </w:r>
          </w:p>
          <w:p>
            <w:pPr>
              <w:pStyle w:val="34"/>
              <w:keepNext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PMingLiU"/>
                <w:sz w:val="20"/>
                <w:szCs w:val="20"/>
                <w:highlight w:val="green"/>
                <w:lang w:val="en-US" w:eastAsia="zh-TW"/>
              </w:rPr>
              <w:t>Reuse the parameters for the Ka band</w:t>
            </w:r>
          </w:p>
        </w:tc>
      </w:tr>
    </w:tbl>
    <w:p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kern w:val="2"/>
          <w:sz w:val="20"/>
          <w:szCs w:val="20"/>
          <w:lang w:val="en-US" w:eastAsia="zh-CN"/>
        </w:rPr>
        <w:t xml:space="preserve">For OTA out-of-band blocking, we need to specify </w:t>
      </w:r>
      <w:r>
        <w:rPr>
          <w:rFonts w:hint="default" w:ascii="Times New Roman" w:hAnsi="Times New Roman" w:cs="Times New Roman"/>
          <w:b w:val="0"/>
          <w:bCs w:val="0"/>
          <w:kern w:val="2"/>
          <w:sz w:val="20"/>
          <w:szCs w:val="20"/>
          <w:lang w:val="en-US" w:eastAsia="zh-CN"/>
        </w:rPr>
        <w:t>∆</w:t>
      </w:r>
      <w:r>
        <w:rPr>
          <w:rFonts w:hint="eastAsia"/>
          <w:b w:val="0"/>
          <w:bCs w:val="0"/>
          <w:kern w:val="2"/>
          <w:sz w:val="20"/>
          <w:szCs w:val="20"/>
          <w:lang w:val="en-US" w:eastAsia="zh-CN"/>
        </w:rPr>
        <w:t>f</w:t>
      </w:r>
      <w:r>
        <w:rPr>
          <w:rFonts w:hint="eastAsia"/>
          <w:b w:val="0"/>
          <w:bCs w:val="0"/>
          <w:kern w:val="2"/>
          <w:sz w:val="20"/>
          <w:szCs w:val="20"/>
          <w:vertAlign w:val="subscript"/>
          <w:lang w:val="en-US" w:eastAsia="zh-CN"/>
        </w:rPr>
        <w:t>OOB</w:t>
      </w:r>
      <w:r>
        <w:rPr>
          <w:rFonts w:hint="eastAsia"/>
          <w:b w:val="0"/>
          <w:bCs w:val="0"/>
          <w:kern w:val="2"/>
          <w:sz w:val="20"/>
          <w:szCs w:val="20"/>
          <w:lang w:val="en-US" w:eastAsia="zh-CN"/>
        </w:rPr>
        <w:t xml:space="preserve"> requirement for Ku band. According to TR 38.922, it is agreed to </w:t>
      </w:r>
      <w:r>
        <w:rPr>
          <w:sz w:val="20"/>
          <w:szCs w:val="20"/>
        </w:rPr>
        <w:t>adopt Δf</w:t>
      </w:r>
      <w:r>
        <w:rPr>
          <w:sz w:val="20"/>
          <w:szCs w:val="20"/>
          <w:vertAlign w:val="subscript"/>
        </w:rPr>
        <w:t>OOB</w:t>
      </w:r>
      <w:r>
        <w:rPr>
          <w:sz w:val="20"/>
          <w:szCs w:val="20"/>
        </w:rPr>
        <w:t xml:space="preserve"> = 100 MHz for AAS BS</w:t>
      </w:r>
      <w:r>
        <w:rPr>
          <w:rFonts w:hint="eastAsia"/>
          <w:sz w:val="20"/>
          <w:szCs w:val="20"/>
          <w:lang w:val="en-US" w:eastAsia="zh-CN"/>
        </w:rPr>
        <w:t xml:space="preserve"> in 14800 - 15350 MHz frequency range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  <w:lang w:val="en-US" w:eastAsia="zh-CN"/>
        </w:rPr>
        <w:t xml:space="preserve"> We propose to define </w:t>
      </w:r>
      <w:r>
        <w:rPr>
          <w:sz w:val="20"/>
          <w:szCs w:val="20"/>
        </w:rPr>
        <w:t>Δf</w:t>
      </w:r>
      <w:r>
        <w:rPr>
          <w:sz w:val="20"/>
          <w:szCs w:val="20"/>
          <w:vertAlign w:val="subscript"/>
        </w:rPr>
        <w:t>OOB</w:t>
      </w:r>
      <w:r>
        <w:rPr>
          <w:sz w:val="20"/>
          <w:szCs w:val="20"/>
        </w:rPr>
        <w:t xml:space="preserve"> = 100 MHz</w:t>
      </w:r>
      <w:r>
        <w:rPr>
          <w:rFonts w:hint="eastAsia"/>
          <w:sz w:val="20"/>
          <w:szCs w:val="20"/>
          <w:lang w:val="en-US" w:eastAsia="zh-CN"/>
        </w:rPr>
        <w:t xml:space="preserve"> for both FR1-NTN Ku bands and FR2-NTN Ku bands.</w:t>
      </w:r>
    </w:p>
    <w:p>
      <w:pPr>
        <w:rPr>
          <w:rFonts w:hint="eastAsia"/>
          <w:b/>
          <w:b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3: It is proposed 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to define Δf</w:t>
      </w:r>
      <w:r>
        <w:rPr>
          <w:rFonts w:hint="eastAsia"/>
          <w:b/>
          <w:bCs/>
          <w:sz w:val="20"/>
          <w:szCs w:val="20"/>
          <w:vertAlign w:val="subscript"/>
          <w:lang w:val="en-US" w:eastAsia="zh-CN"/>
        </w:rPr>
        <w:t xml:space="preserve">OOB 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= 100 MHz for both FR1-NTN Ku bands and FR2-NTN Ku bands.</w:t>
      </w:r>
    </w:p>
    <w:p>
      <w:pP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SAN RF requirements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Ku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 w:eastAsia="PMingLiU"/>
          <w:b/>
          <w:bCs/>
          <w:kern w:val="2"/>
          <w:sz w:val="20"/>
          <w:szCs w:val="20"/>
          <w:lang w:val="en-US" w:eastAsia="zh-CN"/>
        </w:rPr>
      </w:pPr>
      <w:r>
        <w:rPr>
          <w:rFonts w:hint="eastAsia" w:eastAsia="PMingLiU"/>
          <w:b/>
          <w:bCs/>
          <w:kern w:val="2"/>
          <w:sz w:val="20"/>
          <w:szCs w:val="20"/>
          <w:lang w:val="en-US" w:eastAsia="zh-CN"/>
        </w:rPr>
        <w:t>Proposal 1: For the tolerance of the radiated transmit power and SAN output power for both FR1-NTN and FR2-NTN Ku band, it is proposed to define +- 3.4dB EIRP accuracy and +-3 dB TRP accuracy.</w:t>
      </w:r>
    </w:p>
    <w:p>
      <w:pPr>
        <w:rPr>
          <w:rFonts w:hint="eastAsia"/>
          <w:b/>
          <w:b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2: It is proposed 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to define OTA REFSENS for both FR1-NTN Ku bands and FR2-NTN Ku bands as follows: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20" w:leftChars="200"/>
        <w:textAlignment w:val="auto"/>
        <w:rPr>
          <w:rFonts w:hint="default"/>
          <w:b/>
          <w:bCs/>
          <w:sz w:val="20"/>
          <w:szCs w:val="20"/>
          <w:vertAlign w:val="baseline"/>
          <w:lang w:val="en-US" w:eastAsia="zh-CN"/>
        </w:rPr>
      </w:pP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For GEO class SAN, EISREFSENS_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5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0M is an integer value in the range [-1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26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] to [-1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34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] dBm. The specific value is declared by the vendor.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20" w:leftChars="20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For LEO class SAN, EISREFSENS_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5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0M is an integer value in the range [-1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21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] to [-1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29</w:t>
      </w:r>
      <w:r>
        <w:rPr>
          <w:rFonts w:hint="default"/>
          <w:b/>
          <w:bCs/>
          <w:sz w:val="20"/>
          <w:szCs w:val="20"/>
          <w:vertAlign w:val="baseline"/>
          <w:lang w:val="en-US" w:eastAsia="zh-CN"/>
        </w:rPr>
        <w:t>] dBm. The specific value is declared by the vendor.</w:t>
      </w:r>
    </w:p>
    <w:p>
      <w:pPr>
        <w:rPr>
          <w:rFonts w:hint="eastAsia"/>
          <w:b/>
          <w:b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3: It is proposed 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to define Δf</w:t>
      </w:r>
      <w:r>
        <w:rPr>
          <w:rFonts w:hint="eastAsia"/>
          <w:b/>
          <w:bCs/>
          <w:sz w:val="20"/>
          <w:szCs w:val="20"/>
          <w:vertAlign w:val="subscript"/>
          <w:lang w:val="en-US" w:eastAsia="zh-CN"/>
        </w:rPr>
        <w:t xml:space="preserve">OOB </w:t>
      </w:r>
      <w:r>
        <w:rPr>
          <w:rFonts w:hint="eastAsia"/>
          <w:b/>
          <w:bCs/>
          <w:sz w:val="20"/>
          <w:szCs w:val="20"/>
          <w:vertAlign w:val="baseline"/>
          <w:lang w:val="en-US" w:eastAsia="zh-CN"/>
        </w:rPr>
        <w:t>= 100 MHz for both FR1-NTN Ku bands and FR2-NTN Ku bands.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RP-250799, Revised WID: Introduction of Ku bands for NR NTN, Intelsat et al.</w:t>
      </w:r>
    </w:p>
    <w:p>
      <w:pPr>
        <w:keepNext/>
        <w:keepLines/>
        <w:pageBreakBefore w:val="0"/>
        <w:widowControl/>
        <w:numPr>
          <w:ilvl w:val="0"/>
          <w:numId w:val="11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lang w:val="en-US" w:eastAsia="zh-CN"/>
        </w:rPr>
        <w:t>R4-2508778</w:t>
      </w:r>
      <w:r>
        <w:rPr>
          <w:rFonts w:hint="eastAsia"/>
          <w:color w:val="auto"/>
          <w:lang w:val="en-US" w:eastAsia="zh-CN"/>
        </w:rPr>
        <w:t>, Way Forward for [115][314] NR_NTN_Ku_Band_UE_SAN_RF, Moderator (CHTTL)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R4-2313996, WF on SAN RF, Ericsson, RAN4#108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R4-2309770, WF on above 10 GHz SAN RF requirements, CATT, RAN4#107</w:t>
      </w: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2F73E4B"/>
    <w:multiLevelType w:val="multilevel"/>
    <w:tmpl w:val="12F73E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  <w:lang w:val="en-GB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9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10">
    <w:nsid w:val="78A93F85"/>
    <w:multiLevelType w:val="multilevel"/>
    <w:tmpl w:val="78A93F8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B55B5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2CBC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725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32182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346E9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5909AA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3F36E4"/>
    <w:rsid w:val="044C78D8"/>
    <w:rsid w:val="04537B11"/>
    <w:rsid w:val="04557675"/>
    <w:rsid w:val="04684A28"/>
    <w:rsid w:val="046C0EAE"/>
    <w:rsid w:val="046F1CC5"/>
    <w:rsid w:val="04782230"/>
    <w:rsid w:val="0479507E"/>
    <w:rsid w:val="047B05A3"/>
    <w:rsid w:val="04894975"/>
    <w:rsid w:val="04922411"/>
    <w:rsid w:val="0492397B"/>
    <w:rsid w:val="04A65723"/>
    <w:rsid w:val="04B14B03"/>
    <w:rsid w:val="04CF6607"/>
    <w:rsid w:val="04D46535"/>
    <w:rsid w:val="04DA1A87"/>
    <w:rsid w:val="04DC0F32"/>
    <w:rsid w:val="04DC52CD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6D5BF6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6E5330"/>
    <w:rsid w:val="0675668B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72694"/>
    <w:rsid w:val="070E5E48"/>
    <w:rsid w:val="07105178"/>
    <w:rsid w:val="0712124C"/>
    <w:rsid w:val="07173A36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64B59"/>
    <w:rsid w:val="078C5933"/>
    <w:rsid w:val="078D336C"/>
    <w:rsid w:val="07971B3F"/>
    <w:rsid w:val="07983294"/>
    <w:rsid w:val="079B3BB0"/>
    <w:rsid w:val="079F1838"/>
    <w:rsid w:val="07A2030D"/>
    <w:rsid w:val="07A5677E"/>
    <w:rsid w:val="07B0676B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53142B"/>
    <w:rsid w:val="08544B0A"/>
    <w:rsid w:val="08732D34"/>
    <w:rsid w:val="08787FF0"/>
    <w:rsid w:val="087C4B7B"/>
    <w:rsid w:val="08824DF0"/>
    <w:rsid w:val="0889002B"/>
    <w:rsid w:val="088F7D75"/>
    <w:rsid w:val="089B79D9"/>
    <w:rsid w:val="08A44DA6"/>
    <w:rsid w:val="08AA245A"/>
    <w:rsid w:val="08AD2ACC"/>
    <w:rsid w:val="08B76C9F"/>
    <w:rsid w:val="08BA6E24"/>
    <w:rsid w:val="08C024D5"/>
    <w:rsid w:val="08C562FD"/>
    <w:rsid w:val="08CA27B1"/>
    <w:rsid w:val="08E916DF"/>
    <w:rsid w:val="08F473EA"/>
    <w:rsid w:val="08FC0AA5"/>
    <w:rsid w:val="09077BA6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23E40"/>
    <w:rsid w:val="09F67CD5"/>
    <w:rsid w:val="0A054821"/>
    <w:rsid w:val="0A077A43"/>
    <w:rsid w:val="0A0835C8"/>
    <w:rsid w:val="0A0C17EE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07F7F"/>
    <w:rsid w:val="0B0130D7"/>
    <w:rsid w:val="0B0250FD"/>
    <w:rsid w:val="0B0C7017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27D0"/>
    <w:rsid w:val="0C43327D"/>
    <w:rsid w:val="0C4426AF"/>
    <w:rsid w:val="0C4431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AD07AE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2A296F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9D6D94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27B32"/>
    <w:rsid w:val="0F0621F6"/>
    <w:rsid w:val="0F103291"/>
    <w:rsid w:val="0F15660A"/>
    <w:rsid w:val="0F1D0EA6"/>
    <w:rsid w:val="0F1D498B"/>
    <w:rsid w:val="0F22242C"/>
    <w:rsid w:val="0F337178"/>
    <w:rsid w:val="0F3374FC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0B6FC1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984D7F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5D3400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B63D1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645EB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BF2501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B324EF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2E194A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43909"/>
    <w:rsid w:val="1485665F"/>
    <w:rsid w:val="14934F1A"/>
    <w:rsid w:val="149559C4"/>
    <w:rsid w:val="14994763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D2018"/>
    <w:rsid w:val="14CE33C4"/>
    <w:rsid w:val="14D60E60"/>
    <w:rsid w:val="14DA3DA1"/>
    <w:rsid w:val="14E60B42"/>
    <w:rsid w:val="14E75E9B"/>
    <w:rsid w:val="14EA1C4D"/>
    <w:rsid w:val="14ED27DF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6665E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6622F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26131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64F51"/>
    <w:rsid w:val="17A712F0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E30DF"/>
    <w:rsid w:val="17FF6314"/>
    <w:rsid w:val="18005F41"/>
    <w:rsid w:val="18025414"/>
    <w:rsid w:val="18171305"/>
    <w:rsid w:val="1820454C"/>
    <w:rsid w:val="1829280B"/>
    <w:rsid w:val="18326934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0E7235"/>
    <w:rsid w:val="19256D7A"/>
    <w:rsid w:val="193275C2"/>
    <w:rsid w:val="19342CF4"/>
    <w:rsid w:val="193A500F"/>
    <w:rsid w:val="193B3E86"/>
    <w:rsid w:val="19463A75"/>
    <w:rsid w:val="194D2005"/>
    <w:rsid w:val="19520B39"/>
    <w:rsid w:val="19642AC5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3B776D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D47B8"/>
    <w:rsid w:val="1B9E64C5"/>
    <w:rsid w:val="1B9E6D4C"/>
    <w:rsid w:val="1BB07CEA"/>
    <w:rsid w:val="1BB371BF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21AE"/>
    <w:rsid w:val="1D037029"/>
    <w:rsid w:val="1D0A6B98"/>
    <w:rsid w:val="1D227612"/>
    <w:rsid w:val="1D3305FF"/>
    <w:rsid w:val="1D395282"/>
    <w:rsid w:val="1D4251BA"/>
    <w:rsid w:val="1D5B2FF2"/>
    <w:rsid w:val="1D5F5386"/>
    <w:rsid w:val="1D614BDA"/>
    <w:rsid w:val="1D6945F9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3F5617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84238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70AD8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36B92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57BD1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B6640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25F3D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6F4201"/>
    <w:rsid w:val="227E0D30"/>
    <w:rsid w:val="227E7CD6"/>
    <w:rsid w:val="228A4698"/>
    <w:rsid w:val="22925971"/>
    <w:rsid w:val="22945167"/>
    <w:rsid w:val="229B0BE2"/>
    <w:rsid w:val="22A55CD5"/>
    <w:rsid w:val="22C04851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A33AF"/>
    <w:rsid w:val="236C1BCA"/>
    <w:rsid w:val="237464D5"/>
    <w:rsid w:val="23816932"/>
    <w:rsid w:val="238E01E4"/>
    <w:rsid w:val="238F46A5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3F956E8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456B0"/>
    <w:rsid w:val="24C83F94"/>
    <w:rsid w:val="24C9288E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43984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563DD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04BA3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B52BD"/>
    <w:rsid w:val="283E7768"/>
    <w:rsid w:val="28485D62"/>
    <w:rsid w:val="28517107"/>
    <w:rsid w:val="28524ABE"/>
    <w:rsid w:val="285560D7"/>
    <w:rsid w:val="286943BC"/>
    <w:rsid w:val="286C77D1"/>
    <w:rsid w:val="286E74F1"/>
    <w:rsid w:val="28760CA0"/>
    <w:rsid w:val="287A2167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EF4C36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62151"/>
    <w:rsid w:val="2B5E6C2A"/>
    <w:rsid w:val="2B637D4B"/>
    <w:rsid w:val="2B6B1684"/>
    <w:rsid w:val="2B7B70BF"/>
    <w:rsid w:val="2B853AF3"/>
    <w:rsid w:val="2B8B422C"/>
    <w:rsid w:val="2B950A36"/>
    <w:rsid w:val="2BA07D38"/>
    <w:rsid w:val="2BBC7962"/>
    <w:rsid w:val="2BC40957"/>
    <w:rsid w:val="2BCA5C66"/>
    <w:rsid w:val="2BCB5DAA"/>
    <w:rsid w:val="2BD65380"/>
    <w:rsid w:val="2BD86372"/>
    <w:rsid w:val="2BDA39FD"/>
    <w:rsid w:val="2BE67ADC"/>
    <w:rsid w:val="2BE725D0"/>
    <w:rsid w:val="2BEF631E"/>
    <w:rsid w:val="2BF369B9"/>
    <w:rsid w:val="2BFC0A4A"/>
    <w:rsid w:val="2C094904"/>
    <w:rsid w:val="2C0E55A1"/>
    <w:rsid w:val="2C1172CF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5C1E78"/>
    <w:rsid w:val="2C722F9A"/>
    <w:rsid w:val="2C797A76"/>
    <w:rsid w:val="2C8B6C0E"/>
    <w:rsid w:val="2C8F4862"/>
    <w:rsid w:val="2C9E5AC8"/>
    <w:rsid w:val="2CA05674"/>
    <w:rsid w:val="2CA2721B"/>
    <w:rsid w:val="2CA63A0C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60795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DF857E7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16385"/>
    <w:rsid w:val="2EEA6E65"/>
    <w:rsid w:val="2EF33C7C"/>
    <w:rsid w:val="2EFF18FA"/>
    <w:rsid w:val="2F00052B"/>
    <w:rsid w:val="2F0367CD"/>
    <w:rsid w:val="2F1251F2"/>
    <w:rsid w:val="2F2B5FBF"/>
    <w:rsid w:val="2F2D445E"/>
    <w:rsid w:val="2F4B20A5"/>
    <w:rsid w:val="2F4F6FBB"/>
    <w:rsid w:val="2F5A00E5"/>
    <w:rsid w:val="2F5B737E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017091"/>
    <w:rsid w:val="301742B2"/>
    <w:rsid w:val="301A1509"/>
    <w:rsid w:val="301A71CE"/>
    <w:rsid w:val="301D63DD"/>
    <w:rsid w:val="301E049B"/>
    <w:rsid w:val="302A4BE6"/>
    <w:rsid w:val="30303A18"/>
    <w:rsid w:val="304478EC"/>
    <w:rsid w:val="304F4511"/>
    <w:rsid w:val="30515C8E"/>
    <w:rsid w:val="305823FF"/>
    <w:rsid w:val="306B7868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72E30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70FA4"/>
    <w:rsid w:val="320901F5"/>
    <w:rsid w:val="320B7CCB"/>
    <w:rsid w:val="32105DE8"/>
    <w:rsid w:val="32286907"/>
    <w:rsid w:val="322E2721"/>
    <w:rsid w:val="322E3DE8"/>
    <w:rsid w:val="3235187E"/>
    <w:rsid w:val="3237186B"/>
    <w:rsid w:val="323B6798"/>
    <w:rsid w:val="32435C91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C16E3E"/>
    <w:rsid w:val="32DF351E"/>
    <w:rsid w:val="32EE5E41"/>
    <w:rsid w:val="32F1510B"/>
    <w:rsid w:val="32F40F87"/>
    <w:rsid w:val="32F520B9"/>
    <w:rsid w:val="32F879A5"/>
    <w:rsid w:val="32FD7C76"/>
    <w:rsid w:val="330414AF"/>
    <w:rsid w:val="330C22FC"/>
    <w:rsid w:val="33231081"/>
    <w:rsid w:val="332A6617"/>
    <w:rsid w:val="334559C6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22EAC"/>
    <w:rsid w:val="33CD23A8"/>
    <w:rsid w:val="33CD6498"/>
    <w:rsid w:val="33D7554F"/>
    <w:rsid w:val="33D825FA"/>
    <w:rsid w:val="33DB2AB1"/>
    <w:rsid w:val="33E52BFA"/>
    <w:rsid w:val="33FE62E7"/>
    <w:rsid w:val="33FF7B8B"/>
    <w:rsid w:val="34080399"/>
    <w:rsid w:val="340D25F6"/>
    <w:rsid w:val="34161D6C"/>
    <w:rsid w:val="341E19AD"/>
    <w:rsid w:val="34221EAF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81748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57EF7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E1E8F"/>
    <w:rsid w:val="358F6BDF"/>
    <w:rsid w:val="35917C0B"/>
    <w:rsid w:val="359371C8"/>
    <w:rsid w:val="35A26AC9"/>
    <w:rsid w:val="35A440D7"/>
    <w:rsid w:val="35C06D50"/>
    <w:rsid w:val="35CD6F14"/>
    <w:rsid w:val="35D24294"/>
    <w:rsid w:val="35D71152"/>
    <w:rsid w:val="35F629BD"/>
    <w:rsid w:val="35F96008"/>
    <w:rsid w:val="35FF6F3C"/>
    <w:rsid w:val="3600359A"/>
    <w:rsid w:val="36075F27"/>
    <w:rsid w:val="36121506"/>
    <w:rsid w:val="36180A4A"/>
    <w:rsid w:val="361D4CF3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25B4"/>
    <w:rsid w:val="368230C6"/>
    <w:rsid w:val="36843A03"/>
    <w:rsid w:val="368C605B"/>
    <w:rsid w:val="368F7E4F"/>
    <w:rsid w:val="36985297"/>
    <w:rsid w:val="369F633B"/>
    <w:rsid w:val="36A003AE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2002"/>
    <w:rsid w:val="37134801"/>
    <w:rsid w:val="37173233"/>
    <w:rsid w:val="371C344E"/>
    <w:rsid w:val="37226558"/>
    <w:rsid w:val="3734159D"/>
    <w:rsid w:val="37382526"/>
    <w:rsid w:val="373B4C89"/>
    <w:rsid w:val="373C4B42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B60F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40601"/>
    <w:rsid w:val="39457B13"/>
    <w:rsid w:val="394B6470"/>
    <w:rsid w:val="395C6EA8"/>
    <w:rsid w:val="39841325"/>
    <w:rsid w:val="39872512"/>
    <w:rsid w:val="39A602F9"/>
    <w:rsid w:val="39BD45C8"/>
    <w:rsid w:val="39C0619E"/>
    <w:rsid w:val="39C2316A"/>
    <w:rsid w:val="39DF4715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E055E"/>
    <w:rsid w:val="3A1F6809"/>
    <w:rsid w:val="3A226969"/>
    <w:rsid w:val="3A3F47CE"/>
    <w:rsid w:val="3A410243"/>
    <w:rsid w:val="3A475185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4317CA"/>
    <w:rsid w:val="3B552653"/>
    <w:rsid w:val="3B5A2A22"/>
    <w:rsid w:val="3B707794"/>
    <w:rsid w:val="3B7804A3"/>
    <w:rsid w:val="3B796B5F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C2DB7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53F71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8D5DCB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DFC0C8E"/>
    <w:rsid w:val="3E0040D9"/>
    <w:rsid w:val="3E1328D6"/>
    <w:rsid w:val="3E162CA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77468B"/>
    <w:rsid w:val="3E8227F0"/>
    <w:rsid w:val="3E937F82"/>
    <w:rsid w:val="3E9726BC"/>
    <w:rsid w:val="3E9B4B40"/>
    <w:rsid w:val="3EA926A7"/>
    <w:rsid w:val="3EB71AC8"/>
    <w:rsid w:val="3EC85E34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75AD6"/>
    <w:rsid w:val="3FBA1D11"/>
    <w:rsid w:val="3FC36557"/>
    <w:rsid w:val="3FC84868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8D6122"/>
    <w:rsid w:val="40A163F1"/>
    <w:rsid w:val="40A25054"/>
    <w:rsid w:val="40A325E0"/>
    <w:rsid w:val="40AE30AC"/>
    <w:rsid w:val="40AE7A15"/>
    <w:rsid w:val="40B41AE2"/>
    <w:rsid w:val="40B7228C"/>
    <w:rsid w:val="40BD0DA1"/>
    <w:rsid w:val="40D877F9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B06152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70BD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143B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3C0A93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EB5134"/>
    <w:rsid w:val="44F03F8F"/>
    <w:rsid w:val="44F14ECF"/>
    <w:rsid w:val="44F416F5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152FE"/>
    <w:rsid w:val="45C661BC"/>
    <w:rsid w:val="45CA082F"/>
    <w:rsid w:val="45CD2126"/>
    <w:rsid w:val="45CF358A"/>
    <w:rsid w:val="45DD738A"/>
    <w:rsid w:val="45E372CD"/>
    <w:rsid w:val="45FB2D6A"/>
    <w:rsid w:val="460675A7"/>
    <w:rsid w:val="460C5979"/>
    <w:rsid w:val="46110AB3"/>
    <w:rsid w:val="46143B66"/>
    <w:rsid w:val="4615371C"/>
    <w:rsid w:val="46214325"/>
    <w:rsid w:val="4626398E"/>
    <w:rsid w:val="46315F44"/>
    <w:rsid w:val="463246EC"/>
    <w:rsid w:val="463425D3"/>
    <w:rsid w:val="463A3547"/>
    <w:rsid w:val="464B28C8"/>
    <w:rsid w:val="464E0973"/>
    <w:rsid w:val="46547AED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2F0207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A0BD9"/>
    <w:rsid w:val="478D3694"/>
    <w:rsid w:val="479128A9"/>
    <w:rsid w:val="47956820"/>
    <w:rsid w:val="47975EDC"/>
    <w:rsid w:val="47983B19"/>
    <w:rsid w:val="479D1DB0"/>
    <w:rsid w:val="479E2C8A"/>
    <w:rsid w:val="47A3609D"/>
    <w:rsid w:val="47C01792"/>
    <w:rsid w:val="47C57A48"/>
    <w:rsid w:val="47D511BD"/>
    <w:rsid w:val="47F51975"/>
    <w:rsid w:val="4808150F"/>
    <w:rsid w:val="480F51A8"/>
    <w:rsid w:val="481604F9"/>
    <w:rsid w:val="481A006F"/>
    <w:rsid w:val="48256B1B"/>
    <w:rsid w:val="48282713"/>
    <w:rsid w:val="482A6E62"/>
    <w:rsid w:val="482F2437"/>
    <w:rsid w:val="4840075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11BEB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02F0F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1A2EA4"/>
    <w:rsid w:val="4A255046"/>
    <w:rsid w:val="4A2A2AD0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DF165F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9A37B9"/>
    <w:rsid w:val="4DAE4B1E"/>
    <w:rsid w:val="4DAF14C5"/>
    <w:rsid w:val="4DB9067A"/>
    <w:rsid w:val="4DC605B6"/>
    <w:rsid w:val="4DD732D2"/>
    <w:rsid w:val="4DE10027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B923F3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324168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B47CBB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25FCF"/>
    <w:rsid w:val="50A578DE"/>
    <w:rsid w:val="50A649F5"/>
    <w:rsid w:val="50AB5EB6"/>
    <w:rsid w:val="50AD494C"/>
    <w:rsid w:val="50AE6FE2"/>
    <w:rsid w:val="50B16618"/>
    <w:rsid w:val="50B52FB2"/>
    <w:rsid w:val="50BB6306"/>
    <w:rsid w:val="50C12EDC"/>
    <w:rsid w:val="50CD2E4B"/>
    <w:rsid w:val="50D8533B"/>
    <w:rsid w:val="50DA0A9E"/>
    <w:rsid w:val="50E11109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51A7E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72906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1F7431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3C83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0664A"/>
    <w:rsid w:val="54F52BA3"/>
    <w:rsid w:val="54F54E04"/>
    <w:rsid w:val="54FD1E28"/>
    <w:rsid w:val="54FE31BD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524B9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4BEB"/>
    <w:rsid w:val="56A55214"/>
    <w:rsid w:val="56A67978"/>
    <w:rsid w:val="56A76AA3"/>
    <w:rsid w:val="56AC63C5"/>
    <w:rsid w:val="56BD159E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2A4818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05993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7B39E5"/>
    <w:rsid w:val="5880052B"/>
    <w:rsid w:val="588D2359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0CD3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CF6340"/>
    <w:rsid w:val="59E85675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687FE8"/>
    <w:rsid w:val="5A746DF6"/>
    <w:rsid w:val="5A8E6670"/>
    <w:rsid w:val="5A912613"/>
    <w:rsid w:val="5A9245E9"/>
    <w:rsid w:val="5A953D41"/>
    <w:rsid w:val="5AA12940"/>
    <w:rsid w:val="5AA75D85"/>
    <w:rsid w:val="5AB422AB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142276"/>
    <w:rsid w:val="5B266C40"/>
    <w:rsid w:val="5B28192B"/>
    <w:rsid w:val="5B342BAD"/>
    <w:rsid w:val="5B392581"/>
    <w:rsid w:val="5B4007EF"/>
    <w:rsid w:val="5B4D1F7C"/>
    <w:rsid w:val="5B4F2C49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04310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138F7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8A64E1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8B6E21"/>
    <w:rsid w:val="5D960EE9"/>
    <w:rsid w:val="5D9A0CFA"/>
    <w:rsid w:val="5D9B296A"/>
    <w:rsid w:val="5D9C251B"/>
    <w:rsid w:val="5DA53D05"/>
    <w:rsid w:val="5DB33A5E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75745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03923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9C615A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C3D5B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11DB4"/>
    <w:rsid w:val="5FEB4E90"/>
    <w:rsid w:val="5FF06848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0460F"/>
    <w:rsid w:val="603114E4"/>
    <w:rsid w:val="603967D7"/>
    <w:rsid w:val="603D3325"/>
    <w:rsid w:val="604040A8"/>
    <w:rsid w:val="60470CE3"/>
    <w:rsid w:val="604775D7"/>
    <w:rsid w:val="60485D19"/>
    <w:rsid w:val="604D29BA"/>
    <w:rsid w:val="606711B4"/>
    <w:rsid w:val="60673C40"/>
    <w:rsid w:val="606A52D4"/>
    <w:rsid w:val="606C5678"/>
    <w:rsid w:val="60786184"/>
    <w:rsid w:val="607A0897"/>
    <w:rsid w:val="607C3753"/>
    <w:rsid w:val="607F6EAB"/>
    <w:rsid w:val="60824F37"/>
    <w:rsid w:val="608D1D4E"/>
    <w:rsid w:val="608D5C53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BE348E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1D54C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344A89"/>
    <w:rsid w:val="624263A2"/>
    <w:rsid w:val="625272C3"/>
    <w:rsid w:val="6254750A"/>
    <w:rsid w:val="626A1B4F"/>
    <w:rsid w:val="62715337"/>
    <w:rsid w:val="6280204D"/>
    <w:rsid w:val="62875636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7D4962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0E62"/>
    <w:rsid w:val="64A7467B"/>
    <w:rsid w:val="64B53322"/>
    <w:rsid w:val="64C41B57"/>
    <w:rsid w:val="64C61AF8"/>
    <w:rsid w:val="64C86505"/>
    <w:rsid w:val="64E65F95"/>
    <w:rsid w:val="64EB5728"/>
    <w:rsid w:val="64F9248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514C2C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430BA"/>
    <w:rsid w:val="65F5655C"/>
    <w:rsid w:val="65F64F18"/>
    <w:rsid w:val="65FF118E"/>
    <w:rsid w:val="66052F43"/>
    <w:rsid w:val="66065483"/>
    <w:rsid w:val="6609487E"/>
    <w:rsid w:val="6618299D"/>
    <w:rsid w:val="66184A14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00F11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AC5E7E"/>
    <w:rsid w:val="66B51E22"/>
    <w:rsid w:val="66C56058"/>
    <w:rsid w:val="66C955BD"/>
    <w:rsid w:val="66CF3182"/>
    <w:rsid w:val="66D60CC4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50D42"/>
    <w:rsid w:val="671B1631"/>
    <w:rsid w:val="672C45D9"/>
    <w:rsid w:val="67302DC3"/>
    <w:rsid w:val="67316C6B"/>
    <w:rsid w:val="6734198F"/>
    <w:rsid w:val="674318B2"/>
    <w:rsid w:val="674D4B22"/>
    <w:rsid w:val="67570422"/>
    <w:rsid w:val="675C0B01"/>
    <w:rsid w:val="675D31B4"/>
    <w:rsid w:val="67611575"/>
    <w:rsid w:val="676D2F4B"/>
    <w:rsid w:val="676E7C74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E3361A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712405"/>
    <w:rsid w:val="69796AD5"/>
    <w:rsid w:val="69850877"/>
    <w:rsid w:val="698C13C5"/>
    <w:rsid w:val="69A430BD"/>
    <w:rsid w:val="69C12919"/>
    <w:rsid w:val="69D737C7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E4699C"/>
    <w:rsid w:val="6AED1BE8"/>
    <w:rsid w:val="6AF00853"/>
    <w:rsid w:val="6AF317C6"/>
    <w:rsid w:val="6B004C6B"/>
    <w:rsid w:val="6B014632"/>
    <w:rsid w:val="6B0722BD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6F79AA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3977A7"/>
    <w:rsid w:val="6C45610F"/>
    <w:rsid w:val="6C59472D"/>
    <w:rsid w:val="6C5A4564"/>
    <w:rsid w:val="6C603744"/>
    <w:rsid w:val="6C635845"/>
    <w:rsid w:val="6C637CCF"/>
    <w:rsid w:val="6C6B4F91"/>
    <w:rsid w:val="6C7802EB"/>
    <w:rsid w:val="6C78194F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3E7FAC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DE1D98"/>
    <w:rsid w:val="6DED1766"/>
    <w:rsid w:val="6DF43BD4"/>
    <w:rsid w:val="6E0E1FAB"/>
    <w:rsid w:val="6E2143FB"/>
    <w:rsid w:val="6E295363"/>
    <w:rsid w:val="6E2F1EE6"/>
    <w:rsid w:val="6E317378"/>
    <w:rsid w:val="6E3A4724"/>
    <w:rsid w:val="6E3E5591"/>
    <w:rsid w:val="6E407C99"/>
    <w:rsid w:val="6E4215C6"/>
    <w:rsid w:val="6E4B0158"/>
    <w:rsid w:val="6E4D611F"/>
    <w:rsid w:val="6E567C9E"/>
    <w:rsid w:val="6E574D4F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AD667E"/>
    <w:rsid w:val="6EB169D3"/>
    <w:rsid w:val="6EB21539"/>
    <w:rsid w:val="6EB829B1"/>
    <w:rsid w:val="6EB978A9"/>
    <w:rsid w:val="6EC7210B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C2C41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6146F"/>
    <w:rsid w:val="703C186A"/>
    <w:rsid w:val="704C34F0"/>
    <w:rsid w:val="704D700E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C17E7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30CDF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7206C1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17B7E"/>
    <w:rsid w:val="71C7540C"/>
    <w:rsid w:val="71DA3F10"/>
    <w:rsid w:val="71E857A5"/>
    <w:rsid w:val="71F64A63"/>
    <w:rsid w:val="71F870B8"/>
    <w:rsid w:val="71F9130C"/>
    <w:rsid w:val="72021233"/>
    <w:rsid w:val="720B2A1D"/>
    <w:rsid w:val="72197AB8"/>
    <w:rsid w:val="721B4039"/>
    <w:rsid w:val="722D6444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593F50"/>
    <w:rsid w:val="7363274A"/>
    <w:rsid w:val="73691A4A"/>
    <w:rsid w:val="7371152B"/>
    <w:rsid w:val="73777B4D"/>
    <w:rsid w:val="737920CD"/>
    <w:rsid w:val="738A6895"/>
    <w:rsid w:val="738D1AFA"/>
    <w:rsid w:val="73917325"/>
    <w:rsid w:val="7395427D"/>
    <w:rsid w:val="73AE5485"/>
    <w:rsid w:val="73B1087F"/>
    <w:rsid w:val="73BC7089"/>
    <w:rsid w:val="73BE7067"/>
    <w:rsid w:val="73C63508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10121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D033D9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7F0863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8E1C96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13CC6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32AC"/>
    <w:rsid w:val="79C97A92"/>
    <w:rsid w:val="79D33056"/>
    <w:rsid w:val="79D715DF"/>
    <w:rsid w:val="79D85AB0"/>
    <w:rsid w:val="79E16F93"/>
    <w:rsid w:val="79E701E5"/>
    <w:rsid w:val="79EC0256"/>
    <w:rsid w:val="79F60153"/>
    <w:rsid w:val="79FA15B1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B4CB6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0D7046"/>
    <w:rsid w:val="7C1054B7"/>
    <w:rsid w:val="7C131E53"/>
    <w:rsid w:val="7C261982"/>
    <w:rsid w:val="7C26369C"/>
    <w:rsid w:val="7C2A465C"/>
    <w:rsid w:val="7C2E06D8"/>
    <w:rsid w:val="7C305879"/>
    <w:rsid w:val="7C3420DA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76E03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132E3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775989"/>
    <w:rsid w:val="7D834A16"/>
    <w:rsid w:val="7D9B14E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EF277B"/>
    <w:rsid w:val="7DF0793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974D8"/>
    <w:rsid w:val="7EAA7C26"/>
    <w:rsid w:val="7EAF1FAA"/>
    <w:rsid w:val="7EB13B0C"/>
    <w:rsid w:val="7EB4653A"/>
    <w:rsid w:val="7EBD44C4"/>
    <w:rsid w:val="7EC478B9"/>
    <w:rsid w:val="7ECA4601"/>
    <w:rsid w:val="7ECA61AD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EFD041E"/>
    <w:rsid w:val="7F000B6A"/>
    <w:rsid w:val="7F0178C5"/>
    <w:rsid w:val="7F022EBD"/>
    <w:rsid w:val="7F023C17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30EB2"/>
    <w:rsid w:val="7F6A77AB"/>
    <w:rsid w:val="7F6B2248"/>
    <w:rsid w:val="7F725E7C"/>
    <w:rsid w:val="7F761ADC"/>
    <w:rsid w:val="7F7D7A8E"/>
    <w:rsid w:val="7F872588"/>
    <w:rsid w:val="7F8725BA"/>
    <w:rsid w:val="7F8C6A8F"/>
    <w:rsid w:val="7F8E2469"/>
    <w:rsid w:val="7F994DB5"/>
    <w:rsid w:val="7F9C175D"/>
    <w:rsid w:val="7F9F773D"/>
    <w:rsid w:val="7FA85877"/>
    <w:rsid w:val="7FAB3A81"/>
    <w:rsid w:val="7FBE6C35"/>
    <w:rsid w:val="7FCB6843"/>
    <w:rsid w:val="7FDC52B9"/>
    <w:rsid w:val="7FDD6527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TableGrid3"/>
    <w:basedOn w:val="23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TableGrid4"/>
    <w:basedOn w:val="23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3.wmf"/><Relationship Id="rId16" Type="http://schemas.openxmlformats.org/officeDocument/2006/relationships/oleObject" Target="embeddings/oleObject3.bin"/><Relationship Id="rId15" Type="http://schemas.openxmlformats.org/officeDocument/2006/relationships/image" Target="media/image2.wmf"/><Relationship Id="rId14" Type="http://schemas.openxmlformats.org/officeDocument/2006/relationships/oleObject" Target="embeddings/oleObject2.bin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2025-08-15T07:46:37Z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7FC60AB734954F8EA8FF3592F624D33C</vt:lpwstr>
  </property>
</Properties>
</file>